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SBMA_Ph3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Add missing input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8.3.2, 8.6, 8.6.1, 8.6.2, 8.7, 8.7.1, 8.7.2, 8.8, 8.8.1, 8.8.2, 8.9, 8.9.1, 8.9.2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Update notifications with common header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8.2.2, 8..3.2, 8.4.2, 8.5.2, 8.6.2, 8.7.2, 8.8.2, 8.9.2, 8.10.2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28.532 Define common notification header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11.0, 11.0.1, 11.0.2, 11.0.2.1, 12.0, 12.0.1, 12.0.2, 12.0.2.1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28.532 decouples the ProvMnS schema with supported feature schemas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Overview of management capabilities and corresponding Solution Sets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Annex 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Enhance SBMA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4.1, 4.2.1, 4.2.3.1, 4.3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28.537 Add reference for solution description (NRM fragment) for each management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4.X (new), 5.2.X(new), 6.1.X (new), 7.2.X(new), 7.4.X(new)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TS 28.537 Usage of MnS Registry NRM fragment for MnS Registry and Discovery for different deployment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5.2.2, 5.X(new)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Update MnSInfo IOC to support MnS Registry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2, 4.3.42.1, 4.3.42.2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decouples the ProvMnS schema with supported feature schemas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Update MnSInfo IOC to support MnS Registry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CR0515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32.156 Clarify usage of &lt;&lt;Support IOC&gt;&gt; instances in SBMA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SBMA_Ph3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